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会员积分管理办法（试行）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单位积极参与协会组织的各项活动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增强协会的凝聚力和向心力，推动我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省人力资源服务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行业健康有序发展，特制定本办法。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由安徽省人力资源服务协会秘书处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根据本办法设定的条件及相应分值每年度对会员单位进行统计、核实、排序。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分值设定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积分以公历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月1日起至1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日止作为积分年度。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积分实行标准分、奖励分和扣除分相结合的方式。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标准分：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满分为100分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遵守协会章程，履行会员义务，按期缴纳会费。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奖励分：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对年度内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参加会议、承办协办及赞助协会活动、社会公益、推介会员、投稿、获得荣誉、参与贯标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等情况，设定奖励分。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扣除分：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对年度内在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人力资源服务行业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行政主管部门或协会受理的有效投诉，经查实会员单位有一定的责任的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会长办公会、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常务理事会、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要求出席的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、重大活动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请假或未出席等情况，设定扣除分。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分值设置如下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标准分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遵守协会章程，履行会员义务，按期缴纳会费计100分（协会发布缴纳会费通知的1个月内），延期缴纳的计80分，年度内未缴纳和拖欠会费的不计分。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（二）奖励分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1.参加协会组织的各类活动，如专题论坛、峰会、考察交流、座谈会、研讨会、培训讲座、线上征询意见反馈、问卷调查等，线上活动每次计2分，线下活动每次计3分，此分值不设上限；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2.承办、协办协会活动，如沙龙、论坛、竞赛等，每次酌情计10—20分，此分值不设上限；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3.以出资、借调人员、提供会议场地等形式支持协会工作或配合协会开展各类活动、考察交流接待的，每次计5—10分，满分20分；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4.积极宣传，推动协会会员队伍壮大的，每成功介绍一个单位入会计5分，此项分值不设上限；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5.响应协会号召参与乡村振兴等公益活动，捐款捐物、消费助农等按每500元等值1分计算，满分20分；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6.踊跃为协会网站、微信公众号投稿，成功采用的计1分，每次不重复计分，满分10分；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7.获得行业行政主管部门和协会举办的各类评比及比赛荣誉，如人力资源服务机构等级评定、双十佳评定、人力资源服务机构能力指数自测等，市级荣誉计2分，省级荣誉计3分，国家级荣誉计5分，满分10分；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8.参与协会组织的行业贯标工作并成为贯标单位，计2分；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9.坚持党建引领，成立党组织积极开展党建活动，获评先进基层党组织、党建工作示范点等荣誉，计1分，满分5分；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10.经行业行政主管部门、会长办公会讨论通过认为可加分的其他事项。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扣除分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年度内协会会长办公会、常务理事会、理事会、会员大会等各类会议应出席但请假的每次扣1分；无故缺席每次扣2分。（请假指单位主要负责人未出席会议；无故缺席指无论何种原因应出席会议而未出席、未签到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2.破坏行业自律，发生行业违法违规行为并经查实的，视情节严重情况，每次扣10—20分。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积分管理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标准分、奖励分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相加再</w:t>
      </w:r>
      <w:r>
        <w:rPr>
          <w:rFonts w:hint="eastAsia" w:ascii="仿宋_GB2312" w:hAnsi="仿宋_GB2312" w:eastAsia="仿宋_GB2312" w:cs="仿宋_GB2312"/>
          <w:sz w:val="32"/>
          <w:szCs w:val="32"/>
        </w:rPr>
        <w:t>减去扣除分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最终综合得分。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Style w:val="5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协会秘书处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将依据最终综合得分公布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排名情况。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表现优秀的会员单位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给予如下奖励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（一）上报业务主管部门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（二）协会公众号开设“会员风采”专题，为表现优秀的会员单位推送企业宣传，每个单位一期，以提交材料时间为准，依次发布，宣传材料由会员单位自行准备，秘书处审核；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（三）协会视频号提供宣传一次；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（四）对客户优先介绍和推荐企业。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附则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本办法为试行办法，协会根据试行情况予以修订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本办法经2024年7月3日二届七次理事会审议通过后生效，由秘书处负责解释。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17FA1"/>
    <w:multiLevelType w:val="singleLevel"/>
    <w:tmpl w:val="CBE17F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MxNDA2ODQ0MTMyZTIwM2YxZGYxMTgzZjE0ODYifQ=="/>
  </w:docVars>
  <w:rsids>
    <w:rsidRoot w:val="036B3DE5"/>
    <w:rsid w:val="036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2024-07-11T03:06:00Z</dcterms:created>
  <dc:creator>_熊猫</dc:creator>
  <cp:lastModifiedBy>_熊猫</cp:lastModifiedBy>
  <dcterms:modified xsi:type="dcterms:W3CDTF">2024-07-11T03:06:30Z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E52974F12DDA46DC8F20581424FD8B6B_11</vt:lpwstr>
  </property>
</Properties>
</file>